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EF" w:rsidRPr="00432457" w:rsidRDefault="00A345EA" w:rsidP="00432457">
      <w:pPr>
        <w:spacing w:before="360" w:after="24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Анатация</w:t>
      </w:r>
      <w:proofErr w:type="spellEnd"/>
      <w:r>
        <w:rPr>
          <w:b/>
          <w:sz w:val="32"/>
          <w:szCs w:val="32"/>
        </w:rPr>
        <w:t xml:space="preserve"> к рабочей программе</w:t>
      </w:r>
    </w:p>
    <w:p w:rsidR="00595EEF" w:rsidRPr="00380515" w:rsidRDefault="00595EEF" w:rsidP="00595EEF">
      <w:pPr>
        <w:spacing w:before="360" w:after="24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10 класс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В школе математика служит опорным предметом для изучения смежных дисциплин. В послешкольной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Математическое образование вносит свой вклад в формирование общей культуры человек. Расширяется круг школьников, для которых математика становится профессионально значимым предметом.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Изучение математики на профильном уровне направлено на достижение овладения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Программа по алгебре и началам анализа и геометрии  для 10-го класса составлена в соответствии с федеральным компонентом государственного стандарта (профильный уровень) и предназначена для учащихся 10 классов.  </w:t>
      </w:r>
      <w:proofErr w:type="gramStart"/>
      <w:r w:rsidRPr="00595EEF">
        <w:rPr>
          <w:sz w:val="28"/>
          <w:szCs w:val="28"/>
        </w:rPr>
        <w:t>Данная рабочая программа составлена для изучения алгебры и начал анализа по учебнику А.Г.Мордкович, П.В.Семенов “Алгебра и начала анализа 10 класс” (профильный уровень, части 1 и 2) и геометрии по учебнику  Л.С.Атанасян и др. «Геометрия, 10-11»,  М. «Просвещение», 2010 год на основе федерального компонента государственного стандарта общего образования (с учетом авторского тематического планирования учебного материала</w:t>
      </w:r>
      <w:proofErr w:type="gramEnd"/>
      <w:r w:rsidRPr="00595EEF">
        <w:rPr>
          <w:sz w:val="28"/>
          <w:szCs w:val="28"/>
        </w:rPr>
        <w:t>, опубликованного в журнале «Математика в школе » №1, 2005).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На изучение курса алгебры и начал анализа в 10 классах МОУ «Дульдургинская СОШ» независимо от выбора профиля обучения  предусмотрено четыре часа в неделю и 2 часа в неделю на изучение геометрии. Итого 204 часа: 136 часов по алгебре и 68 часов по геометрии.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В курсе алгебры и геометрии 10 класса представлены содержательные линии: числовые и буквенные выражения, тригонометрия, функции, начала математического анализа, уравнения и неравенства,  геометрия.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В рамках указанных содержательных линий решаются следующие задачи: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 xml:space="preserve">Формирование представлений об идеях и методах математики; о </w:t>
      </w:r>
      <w:r w:rsidRPr="00595EEF">
        <w:rPr>
          <w:sz w:val="28"/>
          <w:szCs w:val="28"/>
        </w:rPr>
        <w:lastRenderedPageBreak/>
        <w:t>математике как универсальном языке науки, средствах моделирования явлений и процессов.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для изучения естественнонаучных дисциплин, продолжения образования и освоения избранной специальности на современном уровне.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научно-технического прогресса.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Изучение курса алгебры и начал анализа в 10-м классе – систематизация изучения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  <w:r w:rsidRPr="00595EEF">
        <w:rPr>
          <w:sz w:val="28"/>
          <w:szCs w:val="28"/>
        </w:rPr>
        <w:t>Учащиеся систематически изучают тригонометрические функции и их свойства, тождественные преобразования тригонометрических выражений и их применение к решению соответствующих уравнений и неравенств, знакомятся с основными понятиями, утверждениями, аппаратом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задачи.</w:t>
      </w:r>
    </w:p>
    <w:p w:rsidR="00595EEF" w:rsidRPr="00595EEF" w:rsidRDefault="00595EEF" w:rsidP="00595EEF">
      <w:pPr>
        <w:widowControl w:val="0"/>
        <w:spacing w:before="60"/>
        <w:ind w:left="567"/>
        <w:jc w:val="both"/>
        <w:rPr>
          <w:sz w:val="28"/>
          <w:szCs w:val="28"/>
        </w:rPr>
      </w:pPr>
    </w:p>
    <w:p w:rsidR="00595EEF" w:rsidRPr="00380515" w:rsidRDefault="00595EEF" w:rsidP="00595EEF">
      <w:pPr>
        <w:spacing w:before="360" w:after="240"/>
        <w:ind w:firstLine="709"/>
        <w:jc w:val="center"/>
        <w:rPr>
          <w:sz w:val="32"/>
          <w:szCs w:val="32"/>
        </w:rPr>
      </w:pPr>
      <w:r>
        <w:rPr>
          <w:b/>
          <w:sz w:val="32"/>
          <w:szCs w:val="32"/>
        </w:rPr>
        <w:t>11 класс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В профильном курсе содержание образования, представленное в основной школе, развивается в следующих направлениях: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• развитие представлений о вероятностно-статистических закономерностях в окружающем мире;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lastRenderedPageBreak/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95EEF" w:rsidRPr="00595EEF" w:rsidRDefault="00595EEF" w:rsidP="00595EEF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595EE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Цели</w:t>
      </w:r>
    </w:p>
    <w:p w:rsidR="00595EEF" w:rsidRPr="00595EEF" w:rsidRDefault="00595EEF" w:rsidP="00595EEF">
      <w:pPr>
        <w:pStyle w:val="WW-"/>
        <w:spacing w:before="0" w:after="0"/>
        <w:ind w:left="57" w:right="57" w:hanging="5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595EEF" w:rsidRPr="00595EEF" w:rsidRDefault="00595EEF" w:rsidP="00595EEF">
      <w:pPr>
        <w:pStyle w:val="WW-"/>
        <w:numPr>
          <w:ilvl w:val="0"/>
          <w:numId w:val="4"/>
        </w:numPr>
        <w:spacing w:before="0" w:after="0"/>
        <w:ind w:left="360" w:right="5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формирование 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595EEF" w:rsidRPr="00595EEF" w:rsidRDefault="00595EEF" w:rsidP="00595EEF">
      <w:pPr>
        <w:pStyle w:val="WW-"/>
        <w:numPr>
          <w:ilvl w:val="0"/>
          <w:numId w:val="4"/>
        </w:numPr>
        <w:spacing w:before="0" w:after="0"/>
        <w:ind w:left="360" w:right="5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овладение устным и письменным математическим языком, математическими знаниями и умениями, необходимыми для изучения школьных </w:t>
      </w:r>
      <w:proofErr w:type="gramStart"/>
      <w:r w:rsidRPr="00595EEF">
        <w:rPr>
          <w:rFonts w:eastAsia="Calibri"/>
          <w:sz w:val="28"/>
          <w:szCs w:val="28"/>
          <w:lang w:eastAsia="ru-RU"/>
        </w:rPr>
        <w:t>естественно-научных</w:t>
      </w:r>
      <w:proofErr w:type="gramEnd"/>
      <w:r w:rsidRPr="00595EEF">
        <w:rPr>
          <w:rFonts w:eastAsia="Calibri"/>
          <w:sz w:val="28"/>
          <w:szCs w:val="28"/>
          <w:lang w:eastAsia="ru-RU"/>
        </w:rPr>
        <w:t xml:space="preserve"> дисциплин, для продолжения образования и освоения избранной специальности на современном уровне;</w:t>
      </w:r>
    </w:p>
    <w:p w:rsidR="00595EEF" w:rsidRPr="00595EEF" w:rsidRDefault="00595EEF" w:rsidP="00595EEF">
      <w:pPr>
        <w:pStyle w:val="WW-"/>
        <w:numPr>
          <w:ilvl w:val="0"/>
          <w:numId w:val="4"/>
        </w:numPr>
        <w:spacing w:before="0" w:after="0"/>
        <w:ind w:left="360" w:right="5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595EEF" w:rsidRPr="00595EEF" w:rsidRDefault="00595EEF" w:rsidP="00595EEF">
      <w:pPr>
        <w:pStyle w:val="WW-"/>
        <w:numPr>
          <w:ilvl w:val="0"/>
          <w:numId w:val="4"/>
        </w:numPr>
        <w:spacing w:before="0" w:after="0"/>
        <w:ind w:left="360" w:right="5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595EEF" w:rsidRPr="00595EEF" w:rsidRDefault="00595EEF" w:rsidP="00595EEF">
      <w:pPr>
        <w:pStyle w:val="WW-"/>
        <w:spacing w:before="0" w:after="0"/>
        <w:ind w:right="57"/>
        <w:jc w:val="both"/>
        <w:rPr>
          <w:rFonts w:eastAsia="Calibri"/>
          <w:sz w:val="28"/>
          <w:szCs w:val="28"/>
          <w:lang w:eastAsia="ru-RU"/>
        </w:rPr>
      </w:pPr>
    </w:p>
    <w:p w:rsidR="00595EEF" w:rsidRPr="00595EEF" w:rsidRDefault="00595EEF" w:rsidP="00595EEF">
      <w:pPr>
        <w:pStyle w:val="6"/>
        <w:ind w:left="426"/>
        <w:rPr>
          <w:rFonts w:eastAsia="Calibri"/>
          <w:b w:val="0"/>
          <w:bCs w:val="0"/>
          <w:sz w:val="28"/>
          <w:szCs w:val="28"/>
        </w:rPr>
      </w:pPr>
      <w:r w:rsidRPr="00595EEF">
        <w:rPr>
          <w:rFonts w:eastAsia="Calibri"/>
          <w:b w:val="0"/>
          <w:bCs w:val="0"/>
          <w:sz w:val="28"/>
          <w:szCs w:val="28"/>
        </w:rPr>
        <w:t>Общеучебные умения, навыки и способы деятельности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lastRenderedPageBreak/>
        <w:t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работы, соотнесения их с поставленной задачей, с личным жизненным опытом;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595EEF" w:rsidRPr="00595EEF" w:rsidRDefault="00595EEF" w:rsidP="00595EEF">
      <w:pPr>
        <w:pStyle w:val="6"/>
        <w:numPr>
          <w:ilvl w:val="5"/>
          <w:numId w:val="0"/>
        </w:numPr>
        <w:tabs>
          <w:tab w:val="num" w:pos="0"/>
        </w:tabs>
        <w:suppressAutoHyphens/>
        <w:spacing w:before="0" w:after="0"/>
        <w:jc w:val="both"/>
        <w:rPr>
          <w:rFonts w:eastAsia="Calibri"/>
          <w:b w:val="0"/>
          <w:bCs w:val="0"/>
          <w:sz w:val="28"/>
          <w:szCs w:val="28"/>
        </w:rPr>
      </w:pPr>
    </w:p>
    <w:p w:rsidR="00595EEF" w:rsidRPr="00595EEF" w:rsidRDefault="00595EEF" w:rsidP="00595EEF">
      <w:pPr>
        <w:pStyle w:val="6"/>
        <w:numPr>
          <w:ilvl w:val="5"/>
          <w:numId w:val="0"/>
        </w:numPr>
        <w:tabs>
          <w:tab w:val="num" w:pos="0"/>
        </w:tabs>
        <w:suppressAutoHyphens/>
        <w:spacing w:before="0" w:after="0"/>
        <w:jc w:val="both"/>
        <w:rPr>
          <w:rFonts w:eastAsia="Calibri"/>
          <w:b w:val="0"/>
          <w:bCs w:val="0"/>
          <w:sz w:val="28"/>
          <w:szCs w:val="28"/>
        </w:rPr>
      </w:pPr>
      <w:r w:rsidRPr="00595EEF">
        <w:rPr>
          <w:rFonts w:eastAsia="Calibri"/>
          <w:b w:val="0"/>
          <w:bCs w:val="0"/>
          <w:sz w:val="28"/>
          <w:szCs w:val="28"/>
        </w:rPr>
        <w:t>Место предмета в базисном учебном плане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420 ч из расчета 6 ч в неделю. При этом учебное время может быть увеличено до 12 уроков в неделю за счет школьного компонента с учетом элективных предметов. </w:t>
      </w:r>
    </w:p>
    <w:p w:rsidR="00595EEF" w:rsidRPr="00595EEF" w:rsidRDefault="00595EEF" w:rsidP="00595EEF">
      <w:pPr>
        <w:pStyle w:val="WW-"/>
        <w:spacing w:before="0" w:after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 xml:space="preserve">Тематическое планирование составлено к УМК А.Г. Мордковича и др. «Алгебра и начала анализа» (профильный уровень)  11 класс, М. «Мнемозина», 2007, «Геометрия 10-11» (базовый-профильный уровень)  авт. Л.С.Атанасян </w:t>
      </w:r>
      <w:proofErr w:type="gramStart"/>
      <w:r w:rsidRPr="00595EEF">
        <w:rPr>
          <w:rFonts w:eastAsia="Calibri"/>
          <w:sz w:val="28"/>
          <w:szCs w:val="28"/>
          <w:lang w:eastAsia="ru-RU"/>
        </w:rPr>
        <w:t>изд</w:t>
      </w:r>
      <w:proofErr w:type="gramEnd"/>
      <w:r w:rsidRPr="00595EEF">
        <w:rPr>
          <w:rFonts w:eastAsia="Calibri"/>
          <w:sz w:val="28"/>
          <w:szCs w:val="28"/>
          <w:lang w:eastAsia="ru-RU"/>
        </w:rPr>
        <w:t xml:space="preserve"> Москва «Просвещение» 2006 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595EEF" w:rsidRPr="00595EEF" w:rsidRDefault="00595EEF" w:rsidP="00595EEF">
      <w:pPr>
        <w:pStyle w:val="WW-"/>
        <w:spacing w:before="0" w:after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595EEF">
        <w:rPr>
          <w:rFonts w:eastAsia="Calibri"/>
          <w:sz w:val="28"/>
          <w:szCs w:val="28"/>
          <w:lang w:eastAsia="ru-RU"/>
        </w:rPr>
        <w:t>Курсивом в тематическом планировании выделен материал, который подлежит изучению, но не включается в Требования к уровню подготовки выпускников. Подчеркиванием выделен материал, содержащийся в Федеральном компоненте государственных образовательных стандартов среднего (полного) общего образования, но отсутствующий в учебнике А.Г. Мордковича и др. «Алгебра и начала анализа», 11 класс, М. «Мнемозина», 2007 год. В скобках указан номер учебного пособия, представленного в списке литературы, где можно найти материал по указанной теме. Тема «Элементы комбинаторики, статистики, теории вероятностей изучается, если эта часть блока не пройдена в 10 класс.</w:t>
      </w:r>
    </w:p>
    <w:p w:rsidR="00595EEF" w:rsidRPr="00595EEF" w:rsidRDefault="00595EEF" w:rsidP="00595EEF">
      <w:pPr>
        <w:rPr>
          <w:sz w:val="28"/>
          <w:szCs w:val="28"/>
        </w:rPr>
      </w:pPr>
    </w:p>
    <w:p w:rsidR="009233F8" w:rsidRPr="00595EEF" w:rsidRDefault="009233F8" w:rsidP="00595EEF">
      <w:pPr>
        <w:widowControl w:val="0"/>
        <w:spacing w:before="60"/>
        <w:ind w:left="567"/>
        <w:jc w:val="both"/>
        <w:rPr>
          <w:sz w:val="28"/>
          <w:szCs w:val="28"/>
        </w:rPr>
      </w:pPr>
    </w:p>
    <w:sectPr w:rsidR="009233F8" w:rsidRPr="00595EEF" w:rsidSect="0092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F6E19BD"/>
    <w:multiLevelType w:val="hybridMultilevel"/>
    <w:tmpl w:val="28D28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E1CF2"/>
    <w:multiLevelType w:val="hybridMultilevel"/>
    <w:tmpl w:val="4A70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3A6665"/>
    <w:multiLevelType w:val="hybridMultilevel"/>
    <w:tmpl w:val="555E7562"/>
    <w:lvl w:ilvl="0" w:tplc="E0FCA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EA"/>
    <w:rsid w:val="00432457"/>
    <w:rsid w:val="00595EEF"/>
    <w:rsid w:val="00736ED7"/>
    <w:rsid w:val="009233F8"/>
    <w:rsid w:val="0097059D"/>
    <w:rsid w:val="00A345EA"/>
    <w:rsid w:val="00D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E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595E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45EA"/>
    <w:pPr>
      <w:spacing w:before="120" w:after="120"/>
      <w:jc w:val="both"/>
    </w:pPr>
    <w:rPr>
      <w:color w:val="000000"/>
    </w:rPr>
  </w:style>
  <w:style w:type="character" w:styleId="a4">
    <w:name w:val="Strong"/>
    <w:basedOn w:val="a0"/>
    <w:qFormat/>
    <w:rsid w:val="00A345EA"/>
    <w:rPr>
      <w:rFonts w:cs="Times New Roman"/>
      <w:b/>
      <w:bCs/>
    </w:rPr>
  </w:style>
  <w:style w:type="paragraph" w:styleId="a5">
    <w:name w:val="Body Text Indent"/>
    <w:basedOn w:val="a"/>
    <w:link w:val="a6"/>
    <w:rsid w:val="00A345EA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45E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A345EA"/>
    <w:rPr>
      <w:rFonts w:ascii="Georgia" w:hAnsi="Georgia"/>
      <w:sz w:val="21"/>
      <w:szCs w:val="21"/>
      <w:shd w:val="clear" w:color="auto" w:fill="FFFFFF"/>
    </w:rPr>
  </w:style>
  <w:style w:type="character" w:customStyle="1" w:styleId="TimesNewRoman">
    <w:name w:val="Основной текст + Times New Roman"/>
    <w:aliases w:val="11,5 pt"/>
    <w:basedOn w:val="a7"/>
    <w:rsid w:val="00A345E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7"/>
    <w:rsid w:val="00A345EA"/>
    <w:pPr>
      <w:widowControl w:val="0"/>
      <w:shd w:val="clear" w:color="auto" w:fill="FFFFFF"/>
      <w:spacing w:after="180" w:line="211" w:lineRule="exact"/>
      <w:jc w:val="both"/>
    </w:pPr>
    <w:rPr>
      <w:rFonts w:ascii="Georgia" w:eastAsiaTheme="minorHAnsi" w:hAnsi="Georgia" w:cstheme="minorBidi"/>
      <w:sz w:val="21"/>
      <w:szCs w:val="21"/>
      <w:shd w:val="clear" w:color="auto" w:fill="FFFFFF"/>
      <w:lang w:eastAsia="en-US"/>
    </w:rPr>
  </w:style>
  <w:style w:type="character" w:customStyle="1" w:styleId="FontStyle13">
    <w:name w:val="Font Style13"/>
    <w:basedOn w:val="a0"/>
    <w:uiPriority w:val="99"/>
    <w:rsid w:val="00595EEF"/>
    <w:rPr>
      <w:rFonts w:ascii="Arial" w:hAnsi="Arial" w:cs="Arial"/>
      <w:sz w:val="20"/>
      <w:szCs w:val="20"/>
    </w:rPr>
  </w:style>
  <w:style w:type="character" w:customStyle="1" w:styleId="da">
    <w:name w:val="da"/>
    <w:basedOn w:val="a0"/>
    <w:rsid w:val="00595EEF"/>
  </w:style>
  <w:style w:type="paragraph" w:customStyle="1" w:styleId="10">
    <w:name w:val="Без интервала1"/>
    <w:rsid w:val="00595EE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595EE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595EEF"/>
  </w:style>
  <w:style w:type="paragraph" w:styleId="a8">
    <w:name w:val="Title"/>
    <w:basedOn w:val="a"/>
    <w:link w:val="a9"/>
    <w:qFormat/>
    <w:rsid w:val="00595EEF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eastAsia="Times New Roman"/>
      <w:b/>
      <w:bCs/>
      <w:color w:val="000000"/>
      <w:spacing w:val="6"/>
      <w:sz w:val="28"/>
      <w:szCs w:val="42"/>
    </w:rPr>
  </w:style>
  <w:style w:type="character" w:customStyle="1" w:styleId="a9">
    <w:name w:val="Название Знак"/>
    <w:basedOn w:val="a0"/>
    <w:link w:val="a8"/>
    <w:rsid w:val="00595EEF"/>
    <w:rPr>
      <w:rFonts w:ascii="Times New Roman" w:eastAsia="Times New Roman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595E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595E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95EE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WW-">
    <w:name w:val="WW-Обычный (веб)"/>
    <w:basedOn w:val="a"/>
    <w:rsid w:val="00595EEF"/>
    <w:pPr>
      <w:suppressAutoHyphens/>
      <w:spacing w:before="280" w:after="119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</dc:creator>
  <cp:keywords/>
  <dc:description/>
  <cp:lastModifiedBy>user</cp:lastModifiedBy>
  <cp:revision>4</cp:revision>
  <dcterms:created xsi:type="dcterms:W3CDTF">2014-09-26T07:34:00Z</dcterms:created>
  <dcterms:modified xsi:type="dcterms:W3CDTF">2015-01-16T11:36:00Z</dcterms:modified>
</cp:coreProperties>
</file>